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jc w:val="center"/>
        <w:rPr>
          <w:b w:val="1"/>
          <w:bCs w:val="1"/>
          <w:color w:val="27251e"/>
          <w:sz w:val="46"/>
          <w:szCs w:val="46"/>
        </w:rPr>
      </w:pPr>
      <w:bookmarkStart w:colFirst="0" w:colLast="0" w:name="_fj89o6xp5se3" w:id="0"/>
      <w:bookmarkEnd w:id="0"/>
      <w:r w:rsidDel="00000000" w:rsidR="00000000" w:rsidRPr="00000000">
        <w:rPr>
          <w:b w:val="1"/>
          <w:bCs w:val="1"/>
          <w:color w:val="27251e"/>
          <w:sz w:val="46"/>
          <w:szCs w:val="46"/>
          <w:rtl w:val="1"/>
        </w:rPr>
        <w:t xml:space="preserve">تقرير</w:t>
      </w:r>
      <w:r w:rsidDel="00000000" w:rsidR="00000000" w:rsidRPr="00000000">
        <w:rPr>
          <w:b w:val="1"/>
          <w:bCs w:val="1"/>
          <w:color w:val="27251e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46"/>
          <w:szCs w:val="46"/>
          <w:rtl w:val="1"/>
        </w:rPr>
        <w:t xml:space="preserve">خبرة</w:t>
      </w:r>
      <w:r w:rsidDel="00000000" w:rsidR="00000000" w:rsidRPr="00000000">
        <w:rPr>
          <w:b w:val="1"/>
          <w:bCs w:val="1"/>
          <w:color w:val="27251e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46"/>
          <w:szCs w:val="46"/>
          <w:rtl w:val="1"/>
        </w:rPr>
        <w:t xml:space="preserve">قضائية</w:t>
      </w:r>
      <w:r w:rsidDel="00000000" w:rsidR="00000000" w:rsidRPr="00000000">
        <w:rPr>
          <w:b w:val="1"/>
          <w:bCs w:val="1"/>
          <w:color w:val="27251e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46"/>
          <w:szCs w:val="46"/>
          <w:rtl w:val="1"/>
        </w:rPr>
        <w:t xml:space="preserve">محاسبية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Roboto" w:cs="Roboto" w:eastAsia="Roboto" w:hAnsi="Roboto"/>
          <w:color w:val="27251e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القضية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0"/>
        </w:rPr>
        <w:t xml:space="preserve"> …………</w:t>
        <w:br w:type="textWrapping"/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المنعقدة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محكمة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…………………………</w:t>
        <w:br w:type="textWrapping"/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القاضي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0"/>
        </w:rPr>
        <w:t xml:space="preserve"> …………………………………</w:t>
        <w:br w:type="textWrapping"/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أمر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تكليف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7251e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7251e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…………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 …………………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rPr>
          <w:b w:val="1"/>
          <w:bCs w:val="1"/>
          <w:color w:val="27251e"/>
          <w:sz w:val="34"/>
          <w:szCs w:val="34"/>
        </w:rPr>
      </w:pPr>
      <w:bookmarkStart w:colFirst="0" w:colLast="0" w:name="_vleqwegkpgyn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1.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المقدمة</w:t>
      </w:r>
    </w:p>
    <w:p w:rsidR="00000000" w:rsidDel="00000000" w:rsidP="00000000" w:rsidRDefault="00000000" w:rsidRPr="00000000" w14:paraId="00000006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Courier New" w:cs="Courier New" w:eastAsia="Courier New" w:hAnsi="Courier New"/>
          <w:color w:val="27251e"/>
          <w:sz w:val="15"/>
          <w:szCs w:val="15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التقرير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تكليف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الجهة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القضائية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المختصة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الجمهورية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اليمنية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بهدف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إبداء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الرأي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الفني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المسائل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النزاع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الأطراف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27251e"/>
          <w:sz w:val="15"/>
          <w:szCs w:val="15"/>
          <w:rtl w:val="0"/>
        </w:rPr>
        <w:br w:type="textWrapping"/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ويلتزم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الخبير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مهمته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بالحياد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والموضوعية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لأحكام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قانون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الإثبات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والأنظمة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المنظمة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لمهنة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والمراجعة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اليمن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تجاوز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المهام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الموكلة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rPr>
          <w:b w:val="1"/>
          <w:bCs w:val="1"/>
          <w:color w:val="27251e"/>
          <w:sz w:val="34"/>
          <w:szCs w:val="34"/>
        </w:rPr>
      </w:pPr>
      <w:bookmarkStart w:colFirst="0" w:colLast="0" w:name="_zdaf0y8ilqzd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2.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موضوع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الخبرة</w:t>
      </w:r>
    </w:p>
    <w:p w:rsidR="00000000" w:rsidDel="00000000" w:rsidP="00000000" w:rsidRDefault="00000000" w:rsidRPr="00000000" w14:paraId="00000009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Roboto" w:cs="Roboto" w:eastAsia="Roboto" w:hAnsi="Roboto"/>
          <w:color w:val="27251e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تتعلق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الخبرة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مراجعة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وتحليل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الدفاتر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والسجلات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للشركة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………………………………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والمتعلقة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بالسنة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الفحص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والتدقيق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الميزانيات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والحسابات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الختامية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والبيانات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المقدمة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الأطراف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التحقق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صحة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البنود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المشكو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الإيرادات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المصروفات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المخزون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المطالبات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القيود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وغيرها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rPr>
          <w:b w:val="1"/>
          <w:bCs w:val="1"/>
          <w:color w:val="27251e"/>
          <w:sz w:val="34"/>
          <w:szCs w:val="34"/>
        </w:rPr>
      </w:pPr>
      <w:bookmarkStart w:colFirst="0" w:colLast="0" w:name="_y9ci6dksfzan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3.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المستندات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قيد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الفحص</w:t>
      </w:r>
    </w:p>
    <w:p w:rsidR="00000000" w:rsidDel="00000000" w:rsidP="00000000" w:rsidRDefault="00000000" w:rsidRPr="00000000" w14:paraId="0000000F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Roboto" w:cs="Roboto" w:eastAsia="Roboto" w:hAnsi="Roboto"/>
          <w:color w:val="27251e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شملت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المستندات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المبحوثة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الميزانية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العمومية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وحساب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الأرباح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والخسائر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للسنة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دفاتر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اليومية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والدفاتر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والسجلات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الأساسية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الفواتير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سندات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القبض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والصرف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والوثائق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الداعمة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للعمليات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الإقرارات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الضريبية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والقيود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القيود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الخلاف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مذكرات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توضيحات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ملاحظات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مقدمة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الأطراف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مكتب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الخبير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rPr>
          <w:b w:val="1"/>
          <w:bCs w:val="1"/>
          <w:color w:val="27251e"/>
          <w:sz w:val="34"/>
          <w:szCs w:val="34"/>
        </w:rPr>
      </w:pPr>
      <w:bookmarkStart w:colFirst="0" w:colLast="0" w:name="_df0ekaixjpn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4.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منهجية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إجراء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الخبرة</w:t>
      </w:r>
    </w:p>
    <w:p w:rsidR="00000000" w:rsidDel="00000000" w:rsidP="00000000" w:rsidRDefault="00000000" w:rsidRPr="00000000" w14:paraId="00000017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Courier New" w:cs="Courier New" w:eastAsia="Courier New" w:hAnsi="Courier New"/>
          <w:color w:val="27251e"/>
          <w:sz w:val="15"/>
          <w:szCs w:val="15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اعتمد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الخبير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مهمة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الخبرة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التحليل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والتحليل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للقوائم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والبيانات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المقدمة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المعاينة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الميدانية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للسجلات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والمستندات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أمكن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بالتنسيق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الجهة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القضائية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الاختصاص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مقابلة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المسؤولين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الماليين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التابعين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للجهة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الخلاف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للاستفسار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المسائل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المقارنة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الممارسات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المتبعة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ومعايير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الجاري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اليمن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معايير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والتدقيق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الصادرة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الجهات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المختصة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rPr>
          <w:b w:val="1"/>
          <w:bCs w:val="1"/>
          <w:color w:val="27251e"/>
          <w:sz w:val="34"/>
          <w:szCs w:val="34"/>
        </w:rPr>
      </w:pPr>
      <w:bookmarkStart w:colFirst="0" w:colLast="0" w:name="_bc8ozhxmwm5q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5.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النتائج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  <w:rPr>
          <w:rFonts w:ascii="Roboto" w:cs="Roboto" w:eastAsia="Roboto" w:hAnsi="Roboto"/>
          <w:color w:val="27251e"/>
          <w:sz w:val="24"/>
          <w:szCs w:val="24"/>
          <w:u w:val="none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تبين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للخبير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الممارسات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المتبعة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المدة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الفريق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إما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مطابقة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للمعايير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المعمول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مخالفة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بعض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البنود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توضيح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البنود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المخالفة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وأثرها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  <w:rPr>
          <w:rFonts w:ascii="Roboto" w:cs="Roboto" w:eastAsia="Roboto" w:hAnsi="Roboto"/>
          <w:color w:val="27251e"/>
          <w:sz w:val="24"/>
          <w:szCs w:val="24"/>
          <w:u w:val="none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تحدد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الأخطاء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المخالفات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جدت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بيان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أثرها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القوائم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والنتائج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المعلنة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  <w:rPr>
          <w:rFonts w:ascii="Roboto" w:cs="Roboto" w:eastAsia="Roboto" w:hAnsi="Roboto"/>
          <w:color w:val="27251e"/>
          <w:sz w:val="24"/>
          <w:szCs w:val="24"/>
          <w:u w:val="none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تقدير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القيمة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للعناصر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الخلاف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تصحيح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الأخطاء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والقيود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توضيح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كيفية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التسوية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  <w:rPr>
          <w:rFonts w:ascii="Roboto" w:cs="Roboto" w:eastAsia="Roboto" w:hAnsi="Roboto"/>
          <w:color w:val="2725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  <w:rPr>
          <w:rFonts w:ascii="Roboto" w:cs="Roboto" w:eastAsia="Roboto" w:hAnsi="Roboto"/>
          <w:color w:val="2725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  <w:rPr>
          <w:rFonts w:ascii="Roboto" w:cs="Roboto" w:eastAsia="Roboto" w:hAnsi="Roboto"/>
          <w:color w:val="2725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firstLine="0"/>
        <w:rPr>
          <w:rFonts w:ascii="Courier New" w:cs="Courier New" w:eastAsia="Courier New" w:hAnsi="Courier New"/>
          <w:color w:val="27251e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rPr>
          <w:b w:val="1"/>
          <w:bCs w:val="1"/>
          <w:color w:val="27251e"/>
          <w:sz w:val="34"/>
          <w:szCs w:val="34"/>
        </w:rPr>
      </w:pPr>
      <w:bookmarkStart w:colFirst="0" w:colLast="0" w:name="_qa8577gx0dzh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6.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الخلاصة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والاستنتاج</w:t>
      </w:r>
    </w:p>
    <w:p w:rsidR="00000000" w:rsidDel="00000000" w:rsidP="00000000" w:rsidRDefault="00000000" w:rsidRPr="00000000" w14:paraId="00000027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Roboto" w:cs="Roboto" w:eastAsia="Roboto" w:hAnsi="Roboto"/>
          <w:color w:val="27251e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تقدم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مراجعة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وتحليل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والالتزام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بالحياد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والموثوقية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الخبير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2B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Courier New" w:cs="Courier New" w:eastAsia="Courier New" w:hAnsi="Courier New"/>
          <w:color w:val="27251e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اكتب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الاستنتاج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بالجملة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الواضحة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والسليمة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</w:t>
        <w:br w:type="textWrapping"/>
        <w:t xml:space="preserve">«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تبي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القوائم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المقدمة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للشركة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النزاع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تعتمد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أسلوب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محاسبي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مخالف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للمعايير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المعمول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أثر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المبالغ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المعلنة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للإيرادات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بمقدار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……»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br w:type="textWrapping"/>
        <w:t xml:space="preserve">«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تتوافق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الممارسات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المتبعة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المعايير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أخطاء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جوهرية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تستدعي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التعديل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rPr>
          <w:b w:val="1"/>
          <w:bCs w:val="1"/>
          <w:color w:val="27251e"/>
          <w:sz w:val="34"/>
          <w:szCs w:val="34"/>
        </w:rPr>
      </w:pPr>
      <w:bookmarkStart w:colFirst="0" w:colLast="0" w:name="_csne9ng7iz7h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7.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التحذير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والحدود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التقرير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يقتصر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المسائل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والفنية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يجوز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تفسير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قانوني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إذ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يرجع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قناعة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الجهة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القضائية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التقرير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يعتمد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وبيانات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مقدمة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الأطراف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حتفظ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للخبير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بالحق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تعديل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يلزم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مستندات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لاحق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80" w:line="300" w:lineRule="auto"/>
        <w:rPr>
          <w:b w:val="1"/>
          <w:bCs w:val="1"/>
          <w:color w:val="27251e"/>
          <w:sz w:val="34"/>
          <w:szCs w:val="34"/>
        </w:rPr>
      </w:pPr>
      <w:bookmarkStart w:colFirst="0" w:colLast="0" w:name="_ubeg8gfz4ff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8. </w:t>
      </w:r>
      <w:r w:rsidDel="00000000" w:rsidR="00000000" w:rsidRPr="00000000">
        <w:rPr>
          <w:b w:val="1"/>
          <w:bCs w:val="1"/>
          <w:color w:val="27251e"/>
          <w:sz w:val="34"/>
          <w:szCs w:val="34"/>
          <w:rtl w:val="1"/>
        </w:rPr>
        <w:t xml:space="preserve">التوقيع</w:t>
      </w:r>
    </w:p>
    <w:p w:rsidR="00000000" w:rsidDel="00000000" w:rsidP="00000000" w:rsidRDefault="00000000" w:rsidRPr="00000000" w14:paraId="00000032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Courier New" w:cs="Courier New" w:eastAsia="Courier New" w:hAnsi="Courier New"/>
          <w:color w:val="27251e"/>
          <w:sz w:val="15"/>
          <w:szCs w:val="15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الخبير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المحاسبي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المعين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 ………………………………………………………………</w:t>
        <w:br w:type="textWrapping"/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الرقم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الوطني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 ……………………………………………………………</w:t>
        <w:br w:type="textWrapping"/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الصفة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محاسب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مراجع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قانوني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—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عضو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……….……… (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الجمعية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جدت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27251e" w:space="0" w:sz="0" w:val="none"/>
          <w:left w:color="27251e" w:space="0" w:sz="0" w:val="none"/>
          <w:bottom w:color="27251e" w:space="0" w:sz="0" w:val="none"/>
          <w:right w:color="27251e" w:space="0" w:sz="0" w:val="none"/>
          <w:between w:color="27251e" w:space="0" w:sz="0" w:val="none"/>
        </w:pBdr>
        <w:bidi w:val="1"/>
        <w:spacing w:after="120" w:before="120" w:lineRule="auto"/>
        <w:rPr>
          <w:rFonts w:ascii="Roboto" w:cs="Roboto" w:eastAsia="Roboto" w:hAnsi="Roboto"/>
          <w:color w:val="27251e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 ……………………………………………………………</w:t>
        <w:br w:type="textWrapping"/>
      </w:r>
      <w:r w:rsidDel="00000000" w:rsidR="00000000" w:rsidRPr="00000000">
        <w:rPr>
          <w:rFonts w:ascii="Jomhuria" w:cs="Jomhuria" w:eastAsia="Jomhuria" w:hAnsi="Jomhuria"/>
          <w:color w:val="27251e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Roboto" w:cs="Roboto" w:eastAsia="Roboto" w:hAnsi="Roboto"/>
          <w:color w:val="27251e"/>
          <w:sz w:val="24"/>
          <w:szCs w:val="24"/>
          <w:rtl w:val="1"/>
        </w:rPr>
        <w:t xml:space="preserve">: ……………………………………………………………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7251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7251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7251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7251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7251e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