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طلاق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غيابي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بتوكيل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محكمة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بالمغرب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محكمة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الإيداع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الغيابي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لوجود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مغربية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صفته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الغائب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بالمغرب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بالخارج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الوقائع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تزوجت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العارضة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عدليي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بدائرة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مضمون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الزوجية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فسخها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غادر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متوجه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ومنذ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لتعذر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يمنحه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التطليق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الحضور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والمرافعة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اتفاقي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غيابي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وغياب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لتعذر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تبليغ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لغيابه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إقامته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غيابه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والترخيص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التطليق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غيابي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…………………………….………………….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يؤسس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المقتضيات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مدونة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313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المسطرة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قاعدة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التعذر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إحضار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الزوجين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الاستعانة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يلتمس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العارضة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هيئتكم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الترخيص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بممارسة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التطليق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التطليق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الغيابي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بتطليق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المستحقات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والتعويضات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الزوجية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لمقتضيات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مدونة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التطليق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الرجعي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الإذن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بتضمين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التحفظات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المدعي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