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50"/>
          <w:szCs w:val="5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طلب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تصحيح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خطأ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في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الاسم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العائلي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ضابط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../../....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المنظم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وبالنظر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لتغيير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والمبررات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[X]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إرفاق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التصحيح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توحيد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الإخوة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والأخوات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إرفاق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للإخوة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تخلص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عائلي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يسبب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حرجا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لإحياء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عائلية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مشروعة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يعكس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والمبررات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لطلبي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كالتالي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تسجيله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الخاطئ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يسبب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صعوبات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ومطابقتها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ونرفق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الثبوتية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لتصحيح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أؤكد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بالآداب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يثير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السخرية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الشبهات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متوافق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والأنظمة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سوابق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داعمة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للمبررات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التصحيح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المستلمة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وألتزم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    /      / </w:t>
      </w:r>
      <w:r w:rsidDel="00000000" w:rsidR="00000000" w:rsidRPr="00000000">
        <w:rPr>
          <w:sz w:val="22"/>
          <w:szCs w:val="22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-----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للاستعمال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يملأ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    /      / 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المبدئي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 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مستوف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 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ناقص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 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مرفوض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للأسباب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وختم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pmB+Bx8oURti/2pjmm4wp8BAQ==">CgMxLjA4AHIhMU03bVNwRTZxU1lxQm1LcFRCdWsxaGRxbmVXVFQzalpk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