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42"/>
          <w:szCs w:val="42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فسخ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42"/>
          <w:szCs w:val="42"/>
          <w:rtl w:val="1"/>
        </w:rPr>
        <w:t xml:space="preserve">بالتراضي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الموافق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مرجع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الأصلي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سبق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إبرام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يخص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بمحض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إرادتهما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ودون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إكراه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وإنهاء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أعلاه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ابتداء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ويعتبر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العلاقة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المفاتيح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المكتراة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مفاتيحها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التسوية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تسوية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الوجيبات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والكهرباء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التسيير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وجدت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1"/>
        </w:rPr>
        <w:t xml:space="preserve">☐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كاملا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1"/>
        </w:rPr>
        <w:t xml:space="preserve">☐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أعاد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جزءا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1"/>
        </w:rPr>
        <w:t xml:space="preserve">☐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احتفظ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الخامس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الإبراء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يبرئ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إبراء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بخصوص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يبقى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لاحقة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صراحة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نسختين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أصليتين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للعمل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  <w:t xml:space="preserve">....................................</w:t>
      </w:r>
    </w:p>
    <w:p w:rsidR="00000000" w:rsidDel="00000000" w:rsidP="00000000" w:rsidRDefault="00000000" w:rsidRPr="00000000" w14:paraId="00000011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  <w:t xml:space="preserve">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